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>ЗАКРЫТОЕ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9803FB">
        <w:rPr>
          <w:rFonts w:ascii="Arial" w:hAnsi="Arial" w:cs="Arial"/>
          <w:b/>
          <w:bCs/>
          <w:sz w:val="18"/>
          <w:szCs w:val="18"/>
        </w:rPr>
        <w:t>1</w:t>
      </w:r>
      <w:r w:rsidR="00940CE0" w:rsidRPr="00940CE0">
        <w:rPr>
          <w:rFonts w:ascii="Arial" w:hAnsi="Arial" w:cs="Arial"/>
          <w:b/>
          <w:bCs/>
          <w:sz w:val="18"/>
          <w:szCs w:val="18"/>
        </w:rPr>
        <w:t>5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940CE0" w:rsidRPr="00940CE0">
        <w:rPr>
          <w:rFonts w:ascii="Arial" w:hAnsi="Arial" w:cs="Arial"/>
          <w:b/>
          <w:bCs/>
          <w:sz w:val="18"/>
          <w:szCs w:val="18"/>
        </w:rPr>
        <w:t>2</w:t>
      </w:r>
      <w:r w:rsidR="00940CE0">
        <w:rPr>
          <w:rFonts w:ascii="Arial" w:hAnsi="Arial" w:cs="Arial"/>
          <w:b/>
          <w:bCs/>
          <w:sz w:val="18"/>
          <w:szCs w:val="18"/>
        </w:rPr>
        <w:t>7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940CE0">
        <w:rPr>
          <w:rFonts w:ascii="Arial" w:hAnsi="Arial" w:cs="Arial"/>
          <w:b/>
          <w:bCs/>
          <w:sz w:val="18"/>
          <w:szCs w:val="18"/>
        </w:rPr>
        <w:t>января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784024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3E057E" w:rsidRPr="00784024">
        <w:rPr>
          <w:rFonts w:ascii="Arial" w:hAnsi="Arial" w:cs="Arial"/>
          <w:sz w:val="18"/>
          <w:szCs w:val="18"/>
        </w:rPr>
        <w:t>ЗАО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>.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 xml:space="preserve">ацией уведомления </w:t>
      </w:r>
      <w:proofErr w:type="gramStart"/>
      <w:r w:rsidR="00447A8F" w:rsidRPr="00784024">
        <w:rPr>
          <w:rFonts w:ascii="Arial" w:hAnsi="Arial" w:cs="Arial"/>
          <w:sz w:val="18"/>
          <w:szCs w:val="18"/>
        </w:rPr>
        <w:t>на</w:t>
      </w:r>
      <w:proofErr w:type="gramEnd"/>
      <w:r w:rsidR="00447A8F" w:rsidRPr="00784024">
        <w:rPr>
          <w:rFonts w:ascii="Arial" w:hAnsi="Arial" w:cs="Arial"/>
          <w:sz w:val="18"/>
          <w:szCs w:val="18"/>
        </w:rPr>
        <w:t xml:space="preserve"> официально</w:t>
      </w:r>
      <w:r w:rsidR="00DB2C08" w:rsidRPr="00784024">
        <w:rPr>
          <w:rFonts w:ascii="Arial" w:hAnsi="Arial" w:cs="Arial"/>
          <w:sz w:val="18"/>
          <w:szCs w:val="18"/>
        </w:rPr>
        <w:t>м сайте ЗАО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 xml:space="preserve">к участию в процедуре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784024" w:rsidRPr="00784024">
        <w:rPr>
          <w:rFonts w:ascii="Arial" w:hAnsi="Arial" w:cs="Arial"/>
          <w:sz w:val="18"/>
          <w:szCs w:val="18"/>
        </w:rPr>
        <w:t xml:space="preserve">по монтажу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снегозадержателей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 А и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Б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>, расположенные по адресу – г. Пенза, ул. Стрельбищенская, 13</w:t>
      </w:r>
      <w:r w:rsidR="009803FB" w:rsidRPr="00784024">
        <w:rPr>
          <w:rFonts w:ascii="Arial" w:hAnsi="Arial" w:cs="Arial"/>
          <w:sz w:val="18"/>
          <w:szCs w:val="18"/>
        </w:rPr>
        <w:t>,</w:t>
      </w:r>
      <w:r w:rsidR="003D2E91" w:rsidRPr="00784024">
        <w:rPr>
          <w:rFonts w:ascii="Arial" w:hAnsi="Arial" w:cs="Arial"/>
          <w:sz w:val="18"/>
          <w:szCs w:val="18"/>
        </w:rPr>
        <w:t xml:space="preserve"> </w:t>
      </w:r>
      <w:r w:rsidR="001D1A81" w:rsidRPr="00784024">
        <w:rPr>
          <w:rFonts w:ascii="Arial" w:hAnsi="Arial" w:cs="Arial"/>
          <w:sz w:val="18"/>
          <w:szCs w:val="18"/>
        </w:rPr>
        <w:t>(далее – работы (услуги</w:t>
      </w:r>
      <w:r w:rsidR="00D75BA3" w:rsidRPr="00784024">
        <w:rPr>
          <w:rFonts w:ascii="Arial" w:hAnsi="Arial" w:cs="Arial"/>
          <w:sz w:val="18"/>
          <w:szCs w:val="18"/>
        </w:rPr>
        <w:t>)</w:t>
      </w:r>
      <w:r w:rsidR="00126239" w:rsidRPr="00784024">
        <w:rPr>
          <w:rFonts w:ascii="Arial" w:hAnsi="Arial" w:cs="Arial"/>
          <w:sz w:val="18"/>
          <w:szCs w:val="18"/>
        </w:rPr>
        <w:t>.</w:t>
      </w:r>
    </w:p>
    <w:p w:rsidR="00764EE9" w:rsidRPr="00784024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784024">
        <w:rPr>
          <w:rFonts w:ascii="Arial" w:hAnsi="Arial" w:cs="Arial"/>
          <w:sz w:val="18"/>
          <w:szCs w:val="18"/>
        </w:rPr>
        <w:t xml:space="preserve">: </w:t>
      </w:r>
      <w:r w:rsidR="00784024" w:rsidRPr="00784024">
        <w:rPr>
          <w:rFonts w:ascii="Arial" w:hAnsi="Arial" w:cs="Arial"/>
          <w:sz w:val="18"/>
          <w:szCs w:val="18"/>
        </w:rPr>
        <w:t xml:space="preserve">монтажу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снегозадержателей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 А и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Б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>, расположенные по адресу – г. Пенза, ул. Стрельбищенская, 13.</w:t>
      </w:r>
    </w:p>
    <w:p w:rsidR="00E95CB5" w:rsidRPr="00784024" w:rsidRDefault="00F12F1F" w:rsidP="00784024">
      <w:pPr>
        <w:pStyle w:val="af4"/>
        <w:numPr>
          <w:ilvl w:val="1"/>
          <w:numId w:val="5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Условия оплаты:</w:t>
      </w:r>
      <w:r w:rsidR="00DE5D54" w:rsidRPr="00784024">
        <w:rPr>
          <w:rFonts w:ascii="Arial" w:hAnsi="Arial" w:cs="Arial"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784024">
        <w:rPr>
          <w:rFonts w:ascii="Arial" w:hAnsi="Arial" w:cs="Arial"/>
          <w:i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40CE0" w:rsidRPr="00940CE0" w:rsidRDefault="00940CE0" w:rsidP="00940CE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CE0">
        <w:rPr>
          <w:rFonts w:ascii="Arial" w:hAnsi="Arial" w:cs="Arial"/>
          <w:sz w:val="18"/>
          <w:szCs w:val="18"/>
        </w:rPr>
        <w:t xml:space="preserve">Срок выполнения работ- 5 рабочих дней </w:t>
      </w:r>
      <w:proofErr w:type="gramStart"/>
      <w:r w:rsidRPr="00940CE0">
        <w:rPr>
          <w:rFonts w:ascii="Arial" w:hAnsi="Arial" w:cs="Arial"/>
          <w:sz w:val="18"/>
          <w:szCs w:val="18"/>
        </w:rPr>
        <w:t>с даты заключения</w:t>
      </w:r>
      <w:proofErr w:type="gramEnd"/>
      <w:r w:rsidRPr="00940CE0">
        <w:rPr>
          <w:rFonts w:ascii="Arial" w:hAnsi="Arial" w:cs="Arial"/>
          <w:sz w:val="18"/>
          <w:szCs w:val="18"/>
        </w:rPr>
        <w:t xml:space="preserve"> договора.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A80458" w:rsidRPr="00A80458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11173B" w:rsidRDefault="0011173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11173B" w:rsidRDefault="0011173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11173B" w:rsidRDefault="0011173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11173B" w:rsidRDefault="0011173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lastRenderedPageBreak/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107FA9" w:rsidRDefault="00107FA9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b w:val="0"/>
          <w:bCs w:val="0"/>
          <w:sz w:val="18"/>
          <w:szCs w:val="18"/>
        </w:rPr>
      </w:pPr>
      <w:bookmarkStart w:id="26" w:name="_Ref303711222"/>
      <w:bookmarkStart w:id="27" w:name="_Ref311232052"/>
      <w:bookmarkStart w:id="28" w:name="_Toc343613527"/>
    </w:p>
    <w:p w:rsidR="009803FB" w:rsidRDefault="009803FB" w:rsidP="009803FB"/>
    <w:p w:rsidR="009803FB" w:rsidRPr="009803FB" w:rsidRDefault="009803FB" w:rsidP="009803FB"/>
    <w:p w:rsidR="00761829" w:rsidRDefault="00761829" w:rsidP="00761829"/>
    <w:p w:rsidR="00761829" w:rsidRPr="00761829" w:rsidRDefault="00761829" w:rsidP="00761829"/>
    <w:p w:rsidR="002569A8" w:rsidRDefault="002569A8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FD2A6D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FD2A6D" w:rsidRPr="00761829">
        <w:rPr>
          <w:rFonts w:ascii="Arial" w:hAnsi="Arial" w:cs="Arial"/>
          <w:sz w:val="18"/>
          <w:szCs w:val="18"/>
        </w:rPr>
      </w:r>
      <w:r w:rsidR="00FD2A6D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FD2A6D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FD2A6D" w:rsidRPr="00761829">
        <w:rPr>
          <w:rFonts w:ascii="Arial" w:hAnsi="Arial" w:cs="Arial"/>
          <w:sz w:val="18"/>
          <w:szCs w:val="18"/>
        </w:rPr>
      </w:r>
      <w:r w:rsidR="00FD2A6D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FD2A6D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FD2A6D" w:rsidRPr="00761829">
        <w:rPr>
          <w:rFonts w:ascii="Arial" w:hAnsi="Arial" w:cs="Arial"/>
          <w:sz w:val="18"/>
          <w:szCs w:val="18"/>
        </w:rPr>
      </w:r>
      <w:r w:rsidR="00FD2A6D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FD2A6D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FD2A6D" w:rsidRPr="00761829">
        <w:rPr>
          <w:rFonts w:ascii="Arial" w:hAnsi="Arial" w:cs="Arial"/>
          <w:sz w:val="18"/>
          <w:szCs w:val="18"/>
        </w:rPr>
      </w:r>
      <w:r w:rsidR="00FD2A6D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A80458" w:rsidRPr="00A80458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>: ЗАО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lastRenderedPageBreak/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b/>
          <w:sz w:val="18"/>
          <w:szCs w:val="18"/>
        </w:rPr>
        <w:t>2</w:t>
      </w:r>
      <w:r w:rsidR="008553D5">
        <w:rPr>
          <w:rFonts w:ascii="Arial" w:hAnsi="Arial" w:cs="Arial"/>
          <w:b/>
          <w:sz w:val="18"/>
          <w:szCs w:val="18"/>
        </w:rPr>
        <w:t>5</w:t>
      </w:r>
      <w:r w:rsidR="00784024">
        <w:rPr>
          <w:rFonts w:ascii="Arial" w:hAnsi="Arial" w:cs="Arial"/>
          <w:b/>
          <w:sz w:val="18"/>
          <w:szCs w:val="18"/>
        </w:rPr>
        <w:t>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8553D5">
        <w:rPr>
          <w:rFonts w:ascii="Arial" w:hAnsi="Arial" w:cs="Arial"/>
          <w:b/>
          <w:sz w:val="18"/>
          <w:szCs w:val="18"/>
        </w:rPr>
        <w:t>208 333,33</w:t>
      </w:r>
      <w:r w:rsidR="00B130B8" w:rsidRPr="00761829">
        <w:rPr>
          <w:rFonts w:ascii="Arial" w:hAnsi="Arial" w:cs="Arial"/>
          <w:sz w:val="18"/>
          <w:szCs w:val="18"/>
        </w:rPr>
        <w:t xml:space="preserve"> 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784024">
        <w:rPr>
          <w:rFonts w:ascii="Arial" w:hAnsi="Arial" w:cs="Arial"/>
          <w:b/>
          <w:sz w:val="18"/>
          <w:szCs w:val="18"/>
        </w:rPr>
        <w:t>0</w:t>
      </w:r>
      <w:r w:rsidR="00315506">
        <w:rPr>
          <w:rFonts w:ascii="Arial" w:hAnsi="Arial" w:cs="Arial"/>
          <w:b/>
          <w:sz w:val="18"/>
          <w:szCs w:val="18"/>
        </w:rPr>
        <w:t>3</w:t>
      </w:r>
      <w:r w:rsidR="00784024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02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 xml:space="preserve">в Единой информационной </w:t>
      </w:r>
      <w:r w:rsidR="006F6925" w:rsidRPr="00761829">
        <w:rPr>
          <w:rFonts w:ascii="Arial" w:hAnsi="Arial" w:cs="Arial"/>
          <w:sz w:val="18"/>
          <w:szCs w:val="18"/>
        </w:rPr>
        <w:lastRenderedPageBreak/>
        <w:t>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315506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0" w:name="_GoBack"/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315506">
        <w:rPr>
          <w:rFonts w:ascii="Arial" w:hAnsi="Arial" w:cs="Arial"/>
          <w:b/>
          <w:i/>
          <w:sz w:val="18"/>
          <w:szCs w:val="18"/>
          <w:u w:val="single"/>
        </w:rPr>
        <w:t>07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0"/>
      <w:r w:rsidRPr="00761829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1" w:name="_Ref303683883"/>
      <w:bookmarkStart w:id="72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1"/>
      <w:bookmarkEnd w:id="72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3" w:name="_Ref305973250"/>
      <w:bookmarkStart w:id="74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3"/>
      <w:bookmarkEnd w:id="7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5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5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6" w:name="_Ref93089454"/>
      <w:bookmarkStart w:id="77" w:name="_Toc343613551"/>
      <w:bookmarkStart w:id="78" w:name="_Ref303250967"/>
      <w:bookmarkStart w:id="79" w:name="_Toc305697378"/>
      <w:bookmarkStart w:id="80" w:name="_Toc343613554"/>
      <w:bookmarkStart w:id="81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6"/>
      <w:bookmarkEnd w:id="77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2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3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2"/>
      <w:bookmarkEnd w:id="83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4" w:name="_Ref306138385"/>
      <w:bookmarkStart w:id="85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4"/>
      <w:bookmarkEnd w:id="85"/>
    </w:p>
    <w:p w:rsidR="005303C7" w:rsidRPr="00761829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6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7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7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6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8" w:name="OLE_LINK2"/>
      <w:bookmarkStart w:id="89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8"/>
      <w:bookmarkEnd w:id="89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8"/>
      <w:bookmarkEnd w:id="79"/>
      <w:bookmarkEnd w:id="80"/>
    </w:p>
    <w:bookmarkEnd w:id="81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90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1" w:name="_Ref303681924"/>
      <w:bookmarkStart w:id="92" w:name="_Ref303683914"/>
      <w:bookmarkStart w:id="93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1"/>
      <w:bookmarkEnd w:id="92"/>
      <w:bookmarkEnd w:id="93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4" w:name="_Ref303251044"/>
      <w:bookmarkStart w:id="95" w:name="_Toc343613556"/>
      <w:bookmarkStart w:id="96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4"/>
      <w:bookmarkEnd w:id="95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7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8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8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9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9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0" w:name="_Ref303683929"/>
      <w:bookmarkStart w:id="101" w:name="_Toc343613557"/>
    </w:p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6"/>
      <w:bookmarkEnd w:id="100"/>
      <w:bookmarkEnd w:id="101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11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</w:t>
      </w:r>
      <w:r w:rsidRPr="00761829">
        <w:rPr>
          <w:rFonts w:ascii="Arial" w:hAnsi="Arial" w:cs="Arial"/>
          <w:sz w:val="18"/>
          <w:szCs w:val="18"/>
        </w:rPr>
        <w:lastRenderedPageBreak/>
        <w:t>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6"/>
      <w:bookmarkEnd w:id="107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8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ЗАО «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Руководитель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107FA9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№1</w:t>
      </w:r>
      <w:r w:rsidR="00DA1219">
        <w:rPr>
          <w:rFonts w:ascii="Arial" w:hAnsi="Arial" w:cs="Arial"/>
          <w:b/>
          <w:sz w:val="20"/>
          <w:szCs w:val="20"/>
        </w:rPr>
        <w:t>5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DA1219">
        <w:rPr>
          <w:rFonts w:ascii="Arial" w:hAnsi="Arial" w:cs="Arial"/>
          <w:b/>
          <w:sz w:val="20"/>
          <w:szCs w:val="20"/>
        </w:rPr>
        <w:t>27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01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 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</w:t>
      </w:r>
      <w:r w:rsidRPr="00107FA9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EE61FE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54960"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EE61FE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6 месяцев</w:t>
            </w:r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FD2A6D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D2A6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2.3pt;margin-top:143.9pt;width:526.05pt;height:91.45pt;z-index:251667456">
            <v:textbox style="mso-next-textbox:#_x0000_s1035">
              <w:txbxContent>
                <w:p w:rsidR="008553D5" w:rsidRPr="002A0EDC" w:rsidRDefault="008553D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8553D5" w:rsidRPr="002A0EDC" w:rsidRDefault="008553D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553D5" w:rsidRPr="002A0EDC" w:rsidRDefault="008553D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553D5" w:rsidRPr="002A0EDC" w:rsidRDefault="008553D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8553D5" w:rsidRPr="002A0EDC" w:rsidRDefault="008553D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8553D5" w:rsidRPr="002A0EDC" w:rsidRDefault="008553D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8553D5" w:rsidRDefault="008553D5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1" w:name="_Toc90385119"/>
      <w:bookmarkStart w:id="122" w:name="_Toc98254025"/>
      <w:bookmarkEnd w:id="119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1"/>
    <w:bookmarkEnd w:id="122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3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3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D5" w:rsidRDefault="008553D5">
      <w:r>
        <w:separator/>
      </w:r>
    </w:p>
  </w:endnote>
  <w:endnote w:type="continuationSeparator" w:id="0">
    <w:p w:rsidR="008553D5" w:rsidRDefault="0085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D5" w:rsidRDefault="008553D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D5" w:rsidRDefault="008553D5">
      <w:r>
        <w:separator/>
      </w:r>
    </w:p>
  </w:footnote>
  <w:footnote w:type="continuationSeparator" w:id="0">
    <w:p w:rsidR="008553D5" w:rsidRDefault="0085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D5" w:rsidRDefault="008553D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D5" w:rsidRDefault="008553D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C8C5-6B7C-4CCC-BB7A-C112BA9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5481</Words>
  <Characters>39624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2022-11-30T11:56:00Z</dcterms:created>
  <dcterms:modified xsi:type="dcterms:W3CDTF">2023-02-01T11:13:00Z</dcterms:modified>
</cp:coreProperties>
</file>